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26A3" w14:textId="64CDCC8B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Chair, </w:t>
      </w:r>
      <w:r w:rsidR="00374A5A">
        <w:rPr>
          <w:rFonts w:ascii="Arial" w:hAnsi="Arial" w:cs="Arial"/>
          <w:b/>
          <w:bCs/>
          <w:sz w:val="26"/>
          <w:szCs w:val="26"/>
        </w:rPr>
        <w:t xml:space="preserve">Sponsorship </w:t>
      </w:r>
      <w:r w:rsidR="00771AA9">
        <w:rPr>
          <w:rFonts w:ascii="Arial" w:hAnsi="Arial" w:cs="Arial"/>
          <w:b/>
          <w:bCs/>
          <w:sz w:val="26"/>
          <w:szCs w:val="26"/>
        </w:rPr>
        <w:t xml:space="preserve">  </w:t>
      </w:r>
      <w:r w:rsidR="009712CD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2110ADC" w14:textId="19A7C4FE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>Director, Friends of the Games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3E30E0E0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3E09AF">
        <w:rPr>
          <w:rFonts w:ascii="Arial" w:hAnsi="Arial" w:cs="Arial"/>
          <w:b/>
          <w:bCs/>
          <w:sz w:val="26"/>
          <w:szCs w:val="26"/>
        </w:rPr>
        <w:t>Friends of the Games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9712CD" w:rsidRDefault="00CB29CF" w:rsidP="009712CD">
      <w:pPr>
        <w:spacing w:after="12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9924158" w14:textId="65603495" w:rsidR="00374A5A" w:rsidRPr="00374A5A" w:rsidRDefault="003E09A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712CD">
        <w:rPr>
          <w:rFonts w:ascii="Arial" w:hAnsi="Arial" w:cs="Arial"/>
          <w:color w:val="000000"/>
          <w:sz w:val="22"/>
          <w:szCs w:val="22"/>
        </w:rPr>
        <w:t>Chair</w:t>
      </w:r>
      <w:r w:rsidRPr="003E09AF">
        <w:rPr>
          <w:rFonts w:ascii="Arial" w:hAnsi="Arial" w:cs="Arial"/>
          <w:color w:val="000000"/>
          <w:sz w:val="22"/>
          <w:szCs w:val="22"/>
        </w:rPr>
        <w:t xml:space="preserve"> of </w:t>
      </w:r>
      <w:r w:rsidR="00374A5A">
        <w:rPr>
          <w:rFonts w:ascii="Arial" w:hAnsi="Arial" w:cs="Arial"/>
          <w:color w:val="000000"/>
          <w:sz w:val="22"/>
          <w:szCs w:val="22"/>
        </w:rPr>
        <w:t>Sponsorship</w:t>
      </w:r>
      <w:r w:rsidR="009712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09AF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9712CD">
        <w:rPr>
          <w:rFonts w:ascii="Arial" w:hAnsi="Arial" w:cs="Arial"/>
          <w:color w:val="000000"/>
          <w:sz w:val="22"/>
          <w:szCs w:val="22"/>
        </w:rPr>
        <w:t xml:space="preserve">support the Director with determining, planning, implementing and execution of </w:t>
      </w:r>
      <w:r w:rsidR="00374A5A" w:rsidRPr="00374A5A">
        <w:rPr>
          <w:rFonts w:ascii="Arial" w:hAnsi="Arial" w:cs="Arial"/>
          <w:color w:val="000000"/>
          <w:sz w:val="22"/>
          <w:szCs w:val="22"/>
        </w:rPr>
        <w:t>Sponsorship</w:t>
      </w:r>
      <w:r w:rsidR="00374A5A">
        <w:rPr>
          <w:rFonts w:ascii="Arial" w:hAnsi="Arial" w:cs="Arial"/>
          <w:color w:val="000000"/>
          <w:sz w:val="22"/>
          <w:szCs w:val="22"/>
        </w:rPr>
        <w:t xml:space="preserve"> stewardship. This includes but is not limited to </w:t>
      </w:r>
      <w:r w:rsidR="00374A5A" w:rsidRPr="00374A5A">
        <w:rPr>
          <w:rFonts w:ascii="Arial" w:hAnsi="Arial" w:cs="Arial"/>
          <w:color w:val="000000"/>
          <w:sz w:val="22"/>
          <w:szCs w:val="22"/>
        </w:rPr>
        <w:t>determine gifts-in-kind and services requirements</w:t>
      </w:r>
      <w:r w:rsidR="00374A5A">
        <w:rPr>
          <w:rFonts w:ascii="Arial" w:hAnsi="Arial" w:cs="Arial"/>
          <w:color w:val="000000"/>
          <w:sz w:val="22"/>
          <w:szCs w:val="22"/>
        </w:rPr>
        <w:t>, p</w:t>
      </w:r>
      <w:r w:rsidR="00374A5A" w:rsidRPr="00374A5A">
        <w:rPr>
          <w:rFonts w:ascii="Arial" w:hAnsi="Arial" w:cs="Arial"/>
          <w:color w:val="000000"/>
          <w:sz w:val="22"/>
          <w:szCs w:val="22"/>
        </w:rPr>
        <w:t>repare list of potential contributors</w:t>
      </w:r>
      <w:r w:rsidR="00374A5A">
        <w:rPr>
          <w:rFonts w:ascii="Arial" w:hAnsi="Arial" w:cs="Arial"/>
          <w:color w:val="000000"/>
          <w:sz w:val="22"/>
          <w:szCs w:val="22"/>
        </w:rPr>
        <w:t xml:space="preserve">, </w:t>
      </w:r>
      <w:r w:rsidR="00374A5A" w:rsidRPr="00374A5A">
        <w:rPr>
          <w:rFonts w:ascii="Arial" w:hAnsi="Arial" w:cs="Arial"/>
          <w:color w:val="000000"/>
          <w:sz w:val="22"/>
          <w:szCs w:val="22"/>
        </w:rPr>
        <w:t>establish and implement campaign to solicit donations</w:t>
      </w:r>
      <w:r w:rsidR="00374A5A">
        <w:rPr>
          <w:rFonts w:ascii="Arial" w:hAnsi="Arial" w:cs="Arial"/>
          <w:color w:val="000000"/>
          <w:sz w:val="22"/>
          <w:szCs w:val="22"/>
        </w:rPr>
        <w:t>, e</w:t>
      </w:r>
      <w:r w:rsidR="00374A5A" w:rsidRPr="00374A5A">
        <w:rPr>
          <w:rFonts w:ascii="Arial" w:hAnsi="Arial" w:cs="Arial"/>
          <w:color w:val="000000"/>
          <w:sz w:val="22"/>
          <w:szCs w:val="22"/>
        </w:rPr>
        <w:t>stablish and maintain system for accurate record keeping</w:t>
      </w:r>
      <w:r w:rsidR="00374A5A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A342E1F" w14:textId="11D38BEB" w:rsidR="00374A5A" w:rsidRPr="00374A5A" w:rsidRDefault="00374A5A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374A5A">
        <w:rPr>
          <w:rFonts w:ascii="Arial" w:hAnsi="Arial" w:cs="Arial"/>
          <w:color w:val="000000"/>
          <w:sz w:val="22"/>
          <w:szCs w:val="22"/>
        </w:rPr>
        <w:t>honour</w:t>
      </w:r>
      <w:proofErr w:type="spellEnd"/>
      <w:proofErr w:type="gramEnd"/>
      <w:r w:rsidRPr="00374A5A">
        <w:rPr>
          <w:rFonts w:ascii="Arial" w:hAnsi="Arial" w:cs="Arial"/>
          <w:color w:val="000000"/>
          <w:sz w:val="22"/>
          <w:szCs w:val="22"/>
        </w:rPr>
        <w:t xml:space="preserve"> the A</w:t>
      </w:r>
      <w:r>
        <w:rPr>
          <w:rFonts w:ascii="Arial" w:hAnsi="Arial" w:cs="Arial"/>
          <w:color w:val="000000"/>
          <w:sz w:val="22"/>
          <w:szCs w:val="22"/>
        </w:rPr>
        <w:t>lberta Sport Connect</w:t>
      </w:r>
      <w:r w:rsidRPr="00374A5A">
        <w:rPr>
          <w:rFonts w:ascii="Arial" w:hAnsi="Arial" w:cs="Arial"/>
          <w:color w:val="000000"/>
          <w:sz w:val="22"/>
          <w:szCs w:val="22"/>
        </w:rPr>
        <w:t xml:space="preserve"> provincial sponsors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74A5A">
        <w:rPr>
          <w:rFonts w:ascii="Arial" w:hAnsi="Arial" w:cs="Arial"/>
          <w:color w:val="000000"/>
          <w:sz w:val="22"/>
          <w:szCs w:val="22"/>
        </w:rPr>
        <w:t>implement A</w:t>
      </w:r>
      <w:r>
        <w:rPr>
          <w:rFonts w:ascii="Arial" w:hAnsi="Arial" w:cs="Arial"/>
          <w:color w:val="000000"/>
          <w:sz w:val="22"/>
          <w:szCs w:val="22"/>
        </w:rPr>
        <w:t xml:space="preserve">lberta </w:t>
      </w:r>
      <w:r w:rsidRPr="00374A5A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port </w:t>
      </w:r>
      <w:r w:rsidRPr="00374A5A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onnect</w:t>
      </w:r>
      <w:r w:rsidRPr="00374A5A">
        <w:rPr>
          <w:rFonts w:ascii="Arial" w:hAnsi="Arial" w:cs="Arial"/>
          <w:color w:val="000000"/>
          <w:sz w:val="22"/>
          <w:szCs w:val="22"/>
        </w:rPr>
        <w:t xml:space="preserve"> Donation Fund program if tax receipts are required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74A5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B11EB8" w14:textId="7DA611DC" w:rsidR="003E09AF" w:rsidRDefault="003E09A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7699BD30" w14:textId="2663CD3B" w:rsidR="009712CD" w:rsidRPr="003E09AF" w:rsidRDefault="009712CD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Term: Sept 2018 – Feb 2020</w:t>
      </w:r>
    </w:p>
    <w:p w14:paraId="6F19751A" w14:textId="5D6F83CA" w:rsidR="00CB29CF" w:rsidRPr="003E09AF" w:rsidRDefault="00CB29CF" w:rsidP="003E09AF">
      <w:pPr>
        <w:tabs>
          <w:tab w:val="left" w:pos="9720"/>
        </w:tabs>
        <w:rPr>
          <w:rFonts w:ascii="Arial" w:hAnsi="Arial" w:cs="Arial"/>
          <w:color w:val="000000"/>
          <w:sz w:val="22"/>
          <w:szCs w:val="22"/>
        </w:rPr>
      </w:pP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4D4E48B7" w14:textId="77777777" w:rsidR="003D6417" w:rsidRPr="003D6417" w:rsidRDefault="003D6417" w:rsidP="003D6417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6B8FE0B1" w14:textId="57C21FE4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09ABE5C2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2299F5E8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077B8220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283BCBFC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90D4B88" w14:textId="77777777" w:rsidR="00281007" w:rsidRPr="00FD2176" w:rsidRDefault="00281007" w:rsidP="0028100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2037E488" w14:textId="77777777" w:rsidR="003E09AF" w:rsidRDefault="003E09AF" w:rsidP="003E09AF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9799A4" w14:textId="77777777" w:rsidR="003E09AF" w:rsidRPr="003E09AF" w:rsidRDefault="003E09AF" w:rsidP="003E09AF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Key Responsibilities:</w:t>
      </w:r>
    </w:p>
    <w:p w14:paraId="28645120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3E09AF">
        <w:rPr>
          <w:rFonts w:ascii="Arial" w:hAnsi="Arial" w:cs="Arial"/>
          <w:color w:val="000000"/>
          <w:sz w:val="22"/>
          <w:szCs w:val="22"/>
        </w:rPr>
        <w:t>Identify and develop corporate, community and individual prospects for the organization's fundraising priorities</w:t>
      </w:r>
    </w:p>
    <w:p w14:paraId="2B89080D" w14:textId="5B48FA9C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Identi</w:t>
      </w:r>
      <w:r w:rsidR="00BE0B33">
        <w:rPr>
          <w:rFonts w:ascii="Arial" w:hAnsi="Arial" w:cs="Arial"/>
          <w:color w:val="000000"/>
          <w:sz w:val="22"/>
          <w:szCs w:val="22"/>
        </w:rPr>
        <w:t>fy and develop a strategic fundraising p</w:t>
      </w:r>
      <w:r w:rsidRPr="003E09AF">
        <w:rPr>
          <w:rFonts w:ascii="Arial" w:hAnsi="Arial" w:cs="Arial"/>
          <w:color w:val="000000"/>
          <w:sz w:val="22"/>
          <w:szCs w:val="22"/>
        </w:rPr>
        <w:t>lan based on the organizations timelines ensuring ethical fundraising principles</w:t>
      </w:r>
    </w:p>
    <w:p w14:paraId="70A36881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Oversee the planning and execution of special fundraising events as specified in the fund development plan to generate funds for the organization</w:t>
      </w:r>
    </w:p>
    <w:p w14:paraId="47ED03BD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Oversee a volunteer committee for stewardship activities and events that are used to steward current donors and sponsors.</w:t>
      </w:r>
    </w:p>
    <w:p w14:paraId="6AB552A2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Expand community awareness and support revenue growth through arranging community displays and speaking engagements – schools, community groups</w:t>
      </w:r>
    </w:p>
    <w:p w14:paraId="492FFD0C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Develop strategies to strengthen business/community relationships to support fundraising opportunities and increasing Airdrie 2020’s community presence</w:t>
      </w:r>
    </w:p>
    <w:p w14:paraId="7F6D80D0" w14:textId="0E3E3EF3" w:rsidR="00CB29CF" w:rsidRPr="003E09AF" w:rsidRDefault="00CB29CF" w:rsidP="003E09AF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E09AF">
        <w:rPr>
          <w:rFonts w:ascii="Arial" w:hAnsi="Arial" w:cs="Arial"/>
          <w:b/>
          <w:bCs/>
          <w:sz w:val="26"/>
          <w:szCs w:val="26"/>
        </w:rPr>
        <w:lastRenderedPageBreak/>
        <w:t>Qualifications</w:t>
      </w:r>
      <w:r w:rsidRPr="003E09AF">
        <w:rPr>
          <w:rFonts w:ascii="Arial" w:hAnsi="Arial" w:cs="Arial"/>
          <w:b/>
          <w:bCs/>
          <w:sz w:val="26"/>
          <w:szCs w:val="26"/>
        </w:rPr>
        <w:tab/>
      </w:r>
    </w:p>
    <w:p w14:paraId="26F39C42" w14:textId="77777777" w:rsidR="00CB29CF" w:rsidRPr="007F5F5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1B8B7517" w14:textId="1399C06E" w:rsidR="003E09AF" w:rsidRPr="003E09AF" w:rsidRDefault="003E09AF" w:rsidP="003E09AF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Minimum </w:t>
      </w:r>
      <w:r w:rsidR="00BE0B33">
        <w:rPr>
          <w:rFonts w:ascii="Arial" w:hAnsi="Arial" w:cs="Arial"/>
          <w:color w:val="000000"/>
          <w:sz w:val="22"/>
          <w:szCs w:val="22"/>
        </w:rPr>
        <w:t>one</w:t>
      </w:r>
      <w:r w:rsidRPr="003E09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E09AF">
        <w:rPr>
          <w:rFonts w:ascii="Arial" w:hAnsi="Arial" w:cs="Arial"/>
          <w:color w:val="000000"/>
          <w:sz w:val="22"/>
          <w:szCs w:val="22"/>
        </w:rPr>
        <w:t>years</w:t>
      </w:r>
      <w:proofErr w:type="spellEnd"/>
      <w:r w:rsidRPr="003E09AF">
        <w:rPr>
          <w:rFonts w:ascii="Arial" w:hAnsi="Arial" w:cs="Arial"/>
          <w:color w:val="000000"/>
          <w:sz w:val="22"/>
          <w:szCs w:val="22"/>
        </w:rPr>
        <w:t xml:space="preserve"> progressive experience in fund development in a not for profit setting;</w:t>
      </w:r>
    </w:p>
    <w:p w14:paraId="5017B152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Be self-motivated and goal oriented</w:t>
      </w:r>
    </w:p>
    <w:p w14:paraId="37FA78F2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and demonstrated success in event management and hands on implementation of successful fundraising events;</w:t>
      </w:r>
    </w:p>
    <w:p w14:paraId="2C44C226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Ability to deal with donors, sponsors and the public, in person, on the phone and through email.</w:t>
      </w:r>
    </w:p>
    <w:p w14:paraId="73786B18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in developing and working with volunteer boards;</w:t>
      </w:r>
    </w:p>
    <w:p w14:paraId="6DB178AB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Confident public speaker with the ability to engage donors, volunteers and community organizations;</w:t>
      </w:r>
    </w:p>
    <w:p w14:paraId="4C6F2930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Superior communications, interpersonal, writing and organization skills</w:t>
      </w:r>
    </w:p>
    <w:p w14:paraId="5F8BF405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Established relationships with Airdrie and area business community an asset</w:t>
      </w:r>
    </w:p>
    <w:p w14:paraId="087AD1F6" w14:textId="77777777" w:rsidR="00CB29CF" w:rsidRPr="007F5F56" w:rsidRDefault="00CB29CF" w:rsidP="00CB29CF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6AD57201" w14:textId="77777777" w:rsidR="00CB29CF" w:rsidRPr="007F5F5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19836D94" w14:textId="77777777" w:rsidR="00CB29CF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20F78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Manual dexterity required to use desktop computers and peripherals.</w:t>
      </w:r>
    </w:p>
    <w:p w14:paraId="0697F0C9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Walking and standing for extended periods of time.</w:t>
      </w:r>
    </w:p>
    <w:p w14:paraId="0DFD07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Occasional heavy lifting between 10lbs to 30lbs</w:t>
      </w:r>
    </w:p>
    <w:p w14:paraId="3F1ECAC2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in a loud environment</w:t>
      </w:r>
    </w:p>
    <w:p w14:paraId="1B5539F0" w14:textId="77777777" w:rsidR="00CB29CF" w:rsidRPr="00C52AC8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 fast paced environment</w:t>
      </w:r>
    </w:p>
    <w:p w14:paraId="522A3A24" w14:textId="77777777" w:rsidR="00CB29CF" w:rsidRDefault="00CB29CF" w:rsidP="003A7BD5"/>
    <w:sectPr w:rsidR="00CB29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9C24B" w14:textId="77777777" w:rsidR="00485CE7" w:rsidRDefault="00485CE7" w:rsidP="003A7BD5">
      <w:r>
        <w:separator/>
      </w:r>
    </w:p>
  </w:endnote>
  <w:endnote w:type="continuationSeparator" w:id="0">
    <w:p w14:paraId="6DCBF41A" w14:textId="77777777" w:rsidR="00485CE7" w:rsidRDefault="00485CE7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0D0F8" w14:textId="77777777" w:rsidR="00485CE7" w:rsidRDefault="00485CE7" w:rsidP="003A7BD5">
      <w:r>
        <w:separator/>
      </w:r>
    </w:p>
  </w:footnote>
  <w:footnote w:type="continuationSeparator" w:id="0">
    <w:p w14:paraId="6D7C4283" w14:textId="77777777" w:rsidR="00485CE7" w:rsidRDefault="00485CE7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61FD" w14:textId="2360555B" w:rsidR="003A7BD5" w:rsidRDefault="003A7BD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  <w:lang w:val="en-CA" w:eastAsia="en-CA"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80E5F"/>
    <w:multiLevelType w:val="multilevel"/>
    <w:tmpl w:val="18F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F456A"/>
    <w:multiLevelType w:val="hybridMultilevel"/>
    <w:tmpl w:val="8C4E0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11B9"/>
    <w:multiLevelType w:val="hybridMultilevel"/>
    <w:tmpl w:val="226CE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455D1"/>
    <w:multiLevelType w:val="hybridMultilevel"/>
    <w:tmpl w:val="77A68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2E15"/>
    <w:multiLevelType w:val="multilevel"/>
    <w:tmpl w:val="337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714A8"/>
    <w:multiLevelType w:val="multilevel"/>
    <w:tmpl w:val="701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B4457"/>
    <w:multiLevelType w:val="hybridMultilevel"/>
    <w:tmpl w:val="EA94E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D5"/>
    <w:rsid w:val="002246E7"/>
    <w:rsid w:val="00281007"/>
    <w:rsid w:val="00374A5A"/>
    <w:rsid w:val="003A7BD5"/>
    <w:rsid w:val="003D6417"/>
    <w:rsid w:val="003E09AF"/>
    <w:rsid w:val="00485CE7"/>
    <w:rsid w:val="005D24C7"/>
    <w:rsid w:val="00771AA9"/>
    <w:rsid w:val="009712CD"/>
    <w:rsid w:val="009A0FC9"/>
    <w:rsid w:val="00BE0B33"/>
    <w:rsid w:val="00CB29CF"/>
    <w:rsid w:val="00D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4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9AF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9A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Pshyk</dc:creator>
  <cp:lastModifiedBy>shauna</cp:lastModifiedBy>
  <cp:revision>2</cp:revision>
  <cp:lastPrinted>2018-05-25T19:35:00Z</cp:lastPrinted>
  <dcterms:created xsi:type="dcterms:W3CDTF">2018-08-04T00:08:00Z</dcterms:created>
  <dcterms:modified xsi:type="dcterms:W3CDTF">2018-08-04T00:08:00Z</dcterms:modified>
</cp:coreProperties>
</file>