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68C0CD0D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771AA9">
        <w:rPr>
          <w:rFonts w:ascii="Arial" w:hAnsi="Arial" w:cs="Arial"/>
          <w:b/>
          <w:bCs/>
          <w:sz w:val="26"/>
          <w:szCs w:val="26"/>
        </w:rPr>
        <w:t xml:space="preserve">Promotional Events  </w:t>
      </w:r>
      <w:r w:rsidR="009712C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2110ADC" w14:textId="19A7C4FE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>Director, 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3E30E0E0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E09AF">
        <w:rPr>
          <w:rFonts w:ascii="Arial" w:hAnsi="Arial" w:cs="Arial"/>
          <w:b/>
          <w:bCs/>
          <w:sz w:val="26"/>
          <w:szCs w:val="26"/>
        </w:rPr>
        <w:t>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E65FBE" w14:textId="4CEB056B" w:rsidR="009712CD" w:rsidRPr="009712CD" w:rsidRDefault="003E09AF" w:rsidP="00771AA9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 of </w:t>
      </w:r>
      <w:r w:rsidR="00771AA9">
        <w:rPr>
          <w:rFonts w:ascii="Arial" w:hAnsi="Arial" w:cs="Arial"/>
          <w:color w:val="000000"/>
          <w:sz w:val="22"/>
          <w:szCs w:val="22"/>
        </w:rPr>
        <w:t>Promotional Event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support the Director with determining, planning, implementing and execution of </w:t>
      </w:r>
      <w:r w:rsidR="00771AA9">
        <w:rPr>
          <w:rFonts w:ascii="Arial" w:hAnsi="Arial" w:cs="Arial"/>
          <w:color w:val="000000"/>
          <w:sz w:val="22"/>
          <w:szCs w:val="22"/>
        </w:rPr>
        <w:t xml:space="preserve">promotional </w:t>
      </w:r>
      <w:r w:rsidR="009712CD" w:rsidRPr="009712CD">
        <w:rPr>
          <w:rFonts w:ascii="Arial" w:hAnsi="Arial" w:cs="Arial"/>
          <w:color w:val="000000"/>
          <w:sz w:val="22"/>
          <w:szCs w:val="22"/>
        </w:rPr>
        <w:t>projects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 that align with the mandates of Airdrie 2020.</w:t>
      </w:r>
      <w:r w:rsidR="002246E7">
        <w:rPr>
          <w:rFonts w:ascii="Arial" w:hAnsi="Arial" w:cs="Arial"/>
          <w:color w:val="000000"/>
          <w:sz w:val="22"/>
          <w:szCs w:val="22"/>
        </w:rPr>
        <w:t xml:space="preserve"> Where Promotional Events have already been established, the Chair will provide any event planning and management to the project. </w:t>
      </w:r>
    </w:p>
    <w:p w14:paraId="47B11EB8" w14:textId="2BC318C3" w:rsidR="003E09AF" w:rsidRDefault="003E09AF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699BD30" w14:textId="2663CD3B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Term: Sept 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29EDF1DC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Fundraising</w:t>
      </w:r>
    </w:p>
    <w:p w14:paraId="28645120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Identify and develop corporate, community and individual prospects for the organization's fundraising priorities</w:t>
      </w:r>
    </w:p>
    <w:p w14:paraId="2B89080D" w14:textId="5B48FA9C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Identi</w:t>
      </w:r>
      <w:r w:rsidR="00BE0B33">
        <w:rPr>
          <w:rFonts w:ascii="Arial" w:hAnsi="Arial" w:cs="Arial"/>
          <w:color w:val="000000"/>
          <w:sz w:val="22"/>
          <w:szCs w:val="22"/>
        </w:rPr>
        <w:t>fy and develop a strategic fundraising p</w:t>
      </w:r>
      <w:r w:rsidRPr="003E09AF">
        <w:rPr>
          <w:rFonts w:ascii="Arial" w:hAnsi="Arial" w:cs="Arial"/>
          <w:color w:val="000000"/>
          <w:sz w:val="22"/>
          <w:szCs w:val="22"/>
        </w:rPr>
        <w:t>lan based on the organizations timelines ensuring ethical fundraising principles</w:t>
      </w:r>
    </w:p>
    <w:p w14:paraId="70A36881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the planning and execution of special fundraising events as specified in the fund development plan to generate funds for the organization</w:t>
      </w:r>
    </w:p>
    <w:p w14:paraId="47ED03BD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a volunteer committee for stewardship activities and events that are used to steward current donors and sponsors.</w:t>
      </w:r>
    </w:p>
    <w:p w14:paraId="6AB552A2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Expand community awareness and support revenue growth through arranging community displays and speaking engagements – schools, community groups</w:t>
      </w:r>
    </w:p>
    <w:p w14:paraId="492FFD0C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Develop strategies to strengthen business/community relationships to support fundraising opportunities and increasing Airdrie 2020’s community presence</w:t>
      </w:r>
    </w:p>
    <w:p w14:paraId="7F6D80D0" w14:textId="0E3E3EF3" w:rsidR="00CB29CF" w:rsidRPr="003E09AF" w:rsidRDefault="00CB29CF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lastRenderedPageBreak/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1B8B7517" w14:textId="3CB514B7" w:rsidR="003E09AF" w:rsidRPr="003E09AF" w:rsidRDefault="003E09AF" w:rsidP="00E8742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BE0B33">
        <w:rPr>
          <w:rFonts w:ascii="Arial" w:hAnsi="Arial" w:cs="Arial"/>
          <w:color w:val="000000"/>
          <w:sz w:val="22"/>
          <w:szCs w:val="22"/>
        </w:rPr>
        <w:t>one</w:t>
      </w:r>
      <w:r w:rsidR="00E87420">
        <w:rPr>
          <w:rFonts w:ascii="Arial" w:hAnsi="Arial" w:cs="Arial"/>
          <w:color w:val="000000"/>
          <w:sz w:val="22"/>
          <w:szCs w:val="22"/>
        </w:rPr>
        <w:t>-</w:t>
      </w:r>
      <w:r w:rsidRPr="003E09AF">
        <w:rPr>
          <w:rFonts w:ascii="Arial" w:hAnsi="Arial" w:cs="Arial"/>
          <w:color w:val="000000"/>
          <w:sz w:val="22"/>
          <w:szCs w:val="22"/>
        </w:rPr>
        <w:t>years progressive experience in fund development in a not for profit setting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5017B152" w14:textId="09E87724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37FA78F2" w14:textId="524BCD3F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and demonstrated success in event management and hands on implementation of successful fundraising events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2C44C226" w14:textId="77777777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email.</w:t>
      </w:r>
    </w:p>
    <w:p w14:paraId="73786B18" w14:textId="493CDB2E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33C502B7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4C6F2930" w14:textId="2805E7D2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059B25C1" w:rsidR="003E09AF" w:rsidRPr="003E09AF" w:rsidRDefault="003E09AF" w:rsidP="00E87420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E87420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0697F0C9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0DFD07BE" w14:textId="35809176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</w:t>
      </w:r>
      <w:r w:rsidR="00E87420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lbs to 30</w:t>
      </w:r>
      <w:r w:rsidR="00E87420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lbs</w:t>
      </w:r>
      <w:r w:rsidR="00E87420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3F1ECAC2" w14:textId="2059369C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E87420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1990B0E0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E87420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  <w:bookmarkStart w:id="0" w:name="_GoBack"/>
      <w:bookmarkEnd w:id="0"/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5E73" w14:textId="77777777" w:rsidR="002D650F" w:rsidRDefault="002D650F" w:rsidP="003A7BD5">
      <w:r>
        <w:separator/>
      </w:r>
    </w:p>
  </w:endnote>
  <w:endnote w:type="continuationSeparator" w:id="0">
    <w:p w14:paraId="3CAF8CA6" w14:textId="77777777" w:rsidR="002D650F" w:rsidRDefault="002D650F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08D5" w14:textId="77777777" w:rsidR="002D650F" w:rsidRDefault="002D650F" w:rsidP="003A7BD5">
      <w:r>
        <w:separator/>
      </w:r>
    </w:p>
  </w:footnote>
  <w:footnote w:type="continuationSeparator" w:id="0">
    <w:p w14:paraId="6C154D25" w14:textId="77777777" w:rsidR="002D650F" w:rsidRDefault="002D650F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2246E7"/>
    <w:rsid w:val="00281007"/>
    <w:rsid w:val="002D650F"/>
    <w:rsid w:val="003A7BD5"/>
    <w:rsid w:val="003D6417"/>
    <w:rsid w:val="003E09AF"/>
    <w:rsid w:val="005D24C7"/>
    <w:rsid w:val="00771AA9"/>
    <w:rsid w:val="009712CD"/>
    <w:rsid w:val="009A0FC9"/>
    <w:rsid w:val="00BE0B33"/>
    <w:rsid w:val="00CB29CF"/>
    <w:rsid w:val="00D17D75"/>
    <w:rsid w:val="00E87420"/>
    <w:rsid w:val="00E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4ACCD175-BB11-46AB-AEC5-825D544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Pshyk</dc:creator>
  <cp:lastModifiedBy>James Darby</cp:lastModifiedBy>
  <cp:revision>2</cp:revision>
  <cp:lastPrinted>2018-05-25T19:35:00Z</cp:lastPrinted>
  <dcterms:created xsi:type="dcterms:W3CDTF">2018-09-14T21:35:00Z</dcterms:created>
  <dcterms:modified xsi:type="dcterms:W3CDTF">2018-09-14T21:35:00Z</dcterms:modified>
</cp:coreProperties>
</file>